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08EDA">
      <w:pPr>
        <w:spacing w:line="520" w:lineRule="exact"/>
        <w:ind w:firstLine="482" w:firstLineChars="200"/>
        <w:rPr>
          <w:rFonts w:hint="eastAsia" w:ascii="宋体" w:hAnsi="宋体"/>
          <w:color w:val="auto"/>
          <w:sz w:val="28"/>
          <w:szCs w:val="28"/>
        </w:rPr>
      </w:pPr>
      <w:r>
        <w:rPr>
          <w:rFonts w:hint="eastAsia" w:ascii="宋体" w:hAnsi="宋体"/>
          <w:b/>
          <w:color w:val="auto"/>
          <w:sz w:val="24"/>
          <w:szCs w:val="24"/>
          <w:lang w:val="zh-CN"/>
        </w:rPr>
        <w:t>（此合同主要条款，除商务条款外，其余部分只作为参考，最终合同</w:t>
      </w:r>
      <w:r>
        <w:rPr>
          <w:rFonts w:hint="eastAsia" w:ascii="宋体" w:hAnsi="宋体"/>
          <w:b/>
          <w:color w:val="auto"/>
          <w:sz w:val="24"/>
          <w:szCs w:val="24"/>
        </w:rPr>
        <w:t>以</w:t>
      </w:r>
      <w:r>
        <w:rPr>
          <w:rFonts w:hint="eastAsia" w:ascii="宋体" w:hAnsi="宋体"/>
          <w:b/>
          <w:color w:val="auto"/>
          <w:sz w:val="24"/>
          <w:szCs w:val="24"/>
          <w:lang w:val="zh-CN"/>
        </w:rPr>
        <w:t>采购人给出的合同定稿为准。）</w:t>
      </w:r>
    </w:p>
    <w:p w14:paraId="4A6FA1E1">
      <w:pPr>
        <w:rPr>
          <w:rFonts w:hint="eastAsia" w:ascii="宋体" w:hAnsi="宋体" w:cs="宋体"/>
          <w:color w:val="auto"/>
          <w:sz w:val="28"/>
          <w:szCs w:val="28"/>
        </w:rPr>
      </w:pPr>
    </w:p>
    <w:p w14:paraId="2DF754F8">
      <w:pPr>
        <w:jc w:val="center"/>
        <w:rPr>
          <w:rFonts w:hint="eastAsia" w:ascii="宋体" w:hAnsi="宋体" w:cs="宋体"/>
          <w:color w:val="auto"/>
          <w:sz w:val="28"/>
          <w:szCs w:val="28"/>
        </w:rPr>
      </w:pPr>
    </w:p>
    <w:p w14:paraId="03CCF2EB">
      <w:pPr>
        <w:jc w:val="center"/>
        <w:rPr>
          <w:rFonts w:hint="eastAsia" w:ascii="宋体" w:hAnsi="宋体" w:cs="宋体"/>
          <w:b/>
          <w:color w:val="auto"/>
          <w:sz w:val="36"/>
          <w:szCs w:val="36"/>
        </w:rPr>
      </w:pPr>
    </w:p>
    <w:p w14:paraId="4CBB019C">
      <w:pPr>
        <w:jc w:val="center"/>
        <w:rPr>
          <w:rFonts w:hint="eastAsia" w:ascii="宋体" w:hAnsi="宋体" w:cs="宋体"/>
          <w:b/>
          <w:color w:val="auto"/>
          <w:sz w:val="48"/>
          <w:szCs w:val="48"/>
          <w:u w:val="single"/>
        </w:rPr>
      </w:pPr>
      <w:r>
        <w:rPr>
          <w:rFonts w:hint="eastAsia" w:ascii="宋体" w:hAnsi="宋体" w:cs="宋体"/>
          <w:b/>
          <w:color w:val="auto"/>
          <w:sz w:val="48"/>
          <w:szCs w:val="48"/>
          <w:u w:val="single"/>
          <w:lang w:val="en-US" w:eastAsia="zh-CN"/>
        </w:rPr>
        <w:t>陕西省中医</w:t>
      </w:r>
      <w:r>
        <w:rPr>
          <w:rFonts w:hint="eastAsia" w:ascii="宋体" w:hAnsi="宋体" w:cs="宋体"/>
          <w:b/>
          <w:color w:val="auto"/>
          <w:sz w:val="48"/>
          <w:szCs w:val="48"/>
          <w:u w:val="single"/>
        </w:rPr>
        <w:t>医院</w:t>
      </w:r>
      <w:r>
        <w:rPr>
          <w:rFonts w:hint="eastAsia" w:ascii="宋体" w:hAnsi="宋体" w:cs="宋体"/>
          <w:b/>
          <w:color w:val="auto"/>
          <w:sz w:val="48"/>
          <w:szCs w:val="48"/>
          <w:u w:val="single"/>
          <w:lang w:val="en-US" w:eastAsia="zh-CN"/>
        </w:rPr>
        <w:t xml:space="preserve">       （</w:t>
      </w:r>
      <w:r>
        <w:rPr>
          <w:rFonts w:hint="eastAsia" w:ascii="宋体" w:hAnsi="宋体" w:cs="宋体"/>
          <w:b/>
          <w:color w:val="auto"/>
          <w:sz w:val="48"/>
          <w:szCs w:val="48"/>
          <w:u w:val="single"/>
        </w:rPr>
        <w:t>项目名称</w:t>
      </w:r>
      <w:r>
        <w:rPr>
          <w:rFonts w:hint="eastAsia" w:ascii="宋体" w:hAnsi="宋体" w:cs="宋体"/>
          <w:b/>
          <w:color w:val="auto"/>
          <w:sz w:val="48"/>
          <w:szCs w:val="48"/>
          <w:u w:val="single"/>
          <w:lang w:val="en-US" w:eastAsia="zh-CN"/>
        </w:rPr>
        <w:t>）</w:t>
      </w:r>
    </w:p>
    <w:p w14:paraId="362E466E">
      <w:pPr>
        <w:jc w:val="center"/>
        <w:rPr>
          <w:rFonts w:hint="eastAsia" w:ascii="宋体" w:hAnsi="宋体" w:cs="宋体"/>
          <w:b/>
          <w:color w:val="auto"/>
          <w:sz w:val="48"/>
          <w:szCs w:val="48"/>
        </w:rPr>
      </w:pPr>
      <w:r>
        <w:rPr>
          <w:rFonts w:hint="eastAsia" w:ascii="宋体" w:hAnsi="宋体" w:cs="宋体"/>
          <w:b/>
          <w:color w:val="auto"/>
          <w:sz w:val="48"/>
          <w:szCs w:val="48"/>
        </w:rPr>
        <w:t>采购合同</w:t>
      </w:r>
    </w:p>
    <w:p w14:paraId="12F01681">
      <w:pPr>
        <w:jc w:val="center"/>
        <w:rPr>
          <w:rFonts w:hint="eastAsia" w:ascii="宋体" w:hAnsi="宋体" w:cs="宋体"/>
          <w:color w:val="auto"/>
          <w:sz w:val="28"/>
          <w:szCs w:val="28"/>
        </w:rPr>
      </w:pPr>
    </w:p>
    <w:p w14:paraId="42F7DEA0">
      <w:pPr>
        <w:pStyle w:val="2"/>
        <w:rPr>
          <w:rFonts w:hint="eastAsia" w:ascii="宋体" w:hAnsi="宋体" w:cs="宋体"/>
          <w:color w:val="auto"/>
          <w:szCs w:val="28"/>
        </w:rPr>
      </w:pPr>
    </w:p>
    <w:p w14:paraId="04FD84C4">
      <w:pPr>
        <w:rPr>
          <w:rFonts w:hint="eastAsia" w:ascii="宋体" w:hAnsi="宋体" w:cs="宋体"/>
          <w:color w:val="auto"/>
          <w:sz w:val="28"/>
          <w:szCs w:val="28"/>
        </w:rPr>
      </w:pPr>
    </w:p>
    <w:p w14:paraId="6F1B5EB4">
      <w:pPr>
        <w:pStyle w:val="2"/>
        <w:rPr>
          <w:rFonts w:hint="eastAsia" w:ascii="宋体" w:hAnsi="宋体" w:cs="宋体"/>
          <w:color w:val="auto"/>
          <w:szCs w:val="28"/>
        </w:rPr>
      </w:pPr>
    </w:p>
    <w:p w14:paraId="371FD5EB">
      <w:pPr>
        <w:rPr>
          <w:rFonts w:hint="eastAsia" w:ascii="宋体" w:hAnsi="宋体" w:cs="宋体"/>
          <w:color w:val="auto"/>
          <w:sz w:val="28"/>
          <w:szCs w:val="28"/>
        </w:rPr>
      </w:pPr>
    </w:p>
    <w:p w14:paraId="75C6ABF5">
      <w:pPr>
        <w:pStyle w:val="2"/>
        <w:rPr>
          <w:rFonts w:hint="eastAsia" w:ascii="宋体" w:hAnsi="宋体" w:cs="宋体"/>
          <w:color w:val="auto"/>
          <w:szCs w:val="28"/>
        </w:rPr>
      </w:pPr>
    </w:p>
    <w:p w14:paraId="516AD406">
      <w:pPr>
        <w:rPr>
          <w:rFonts w:hint="eastAsia" w:ascii="宋体" w:hAnsi="宋体" w:cs="宋体"/>
          <w:color w:val="auto"/>
          <w:sz w:val="28"/>
          <w:szCs w:val="28"/>
        </w:rPr>
      </w:pPr>
    </w:p>
    <w:p w14:paraId="0A86F78F">
      <w:pPr>
        <w:pStyle w:val="2"/>
        <w:rPr>
          <w:rFonts w:hint="eastAsia"/>
          <w:color w:val="auto"/>
        </w:rPr>
      </w:pPr>
    </w:p>
    <w:p w14:paraId="1318E77E">
      <w:pPr>
        <w:rPr>
          <w:rFonts w:hint="eastAsia"/>
          <w:color w:val="auto"/>
        </w:rPr>
      </w:pPr>
    </w:p>
    <w:p w14:paraId="6AAB43BA">
      <w:pPr>
        <w:pStyle w:val="2"/>
        <w:rPr>
          <w:rFonts w:hint="eastAsia"/>
          <w:color w:val="auto"/>
        </w:rPr>
      </w:pPr>
    </w:p>
    <w:p w14:paraId="74278482">
      <w:pPr>
        <w:rPr>
          <w:rFonts w:hint="eastAsia"/>
          <w:color w:val="auto"/>
        </w:rPr>
      </w:pPr>
    </w:p>
    <w:p w14:paraId="1AF93294">
      <w:pPr>
        <w:pStyle w:val="2"/>
        <w:rPr>
          <w:rFonts w:hint="eastAsia"/>
          <w:color w:val="auto"/>
        </w:rPr>
      </w:pPr>
    </w:p>
    <w:p w14:paraId="30500E9E">
      <w:pPr>
        <w:jc w:val="center"/>
        <w:rPr>
          <w:rFonts w:hint="eastAsia" w:ascii="宋体" w:hAnsi="宋体" w:cs="宋体"/>
          <w:color w:val="auto"/>
          <w:sz w:val="28"/>
          <w:szCs w:val="28"/>
        </w:rPr>
      </w:pPr>
    </w:p>
    <w:p w14:paraId="4B81CC18">
      <w:pPr>
        <w:jc w:val="center"/>
        <w:rPr>
          <w:rFonts w:hint="eastAsia" w:ascii="宋体" w:hAnsi="宋体" w:cs="宋体"/>
          <w:color w:val="auto"/>
          <w:sz w:val="28"/>
          <w:szCs w:val="28"/>
        </w:rPr>
      </w:pPr>
    </w:p>
    <w:p w14:paraId="322C07C5">
      <w:pPr>
        <w:jc w:val="center"/>
        <w:rPr>
          <w:rFonts w:hint="eastAsia" w:ascii="宋体" w:hAnsi="宋体" w:cs="宋体"/>
          <w:color w:val="auto"/>
          <w:sz w:val="28"/>
          <w:szCs w:val="28"/>
        </w:rPr>
      </w:pPr>
      <w:r>
        <w:rPr>
          <w:rFonts w:hint="eastAsia" w:ascii="宋体" w:hAnsi="宋体" w:cs="宋体"/>
          <w:color w:val="auto"/>
          <w:sz w:val="28"/>
          <w:szCs w:val="28"/>
        </w:rPr>
        <w:t>甲  方：</w:t>
      </w:r>
      <w:r>
        <w:rPr>
          <w:rFonts w:hint="eastAsia" w:ascii="宋体" w:hAnsi="宋体" w:cs="宋体"/>
          <w:color w:val="auto"/>
          <w:sz w:val="28"/>
          <w:szCs w:val="28"/>
          <w:lang w:val="en-US" w:eastAsia="zh-CN"/>
        </w:rPr>
        <w:t>陕西省中医</w:t>
      </w:r>
      <w:r>
        <w:rPr>
          <w:rFonts w:hint="eastAsia" w:ascii="宋体" w:hAnsi="宋体" w:cs="宋体"/>
          <w:color w:val="auto"/>
          <w:sz w:val="28"/>
          <w:szCs w:val="28"/>
        </w:rPr>
        <w:t>医院</w:t>
      </w:r>
    </w:p>
    <w:p w14:paraId="567BF4CE">
      <w:pPr>
        <w:ind w:firstLine="2520" w:firstLineChars="900"/>
        <w:jc w:val="both"/>
        <w:rPr>
          <w:rFonts w:hint="eastAsia" w:ascii="宋体" w:hAnsi="宋体" w:cs="宋体"/>
          <w:color w:val="auto"/>
          <w:sz w:val="28"/>
          <w:szCs w:val="28"/>
        </w:rPr>
      </w:pPr>
      <w:r>
        <w:rPr>
          <w:rFonts w:hint="eastAsia" w:ascii="宋体" w:hAnsi="宋体" w:cs="宋体"/>
          <w:color w:val="auto"/>
          <w:sz w:val="28"/>
          <w:szCs w:val="28"/>
        </w:rPr>
        <w:t>乙  方：</w:t>
      </w:r>
    </w:p>
    <w:p w14:paraId="6AA7786E">
      <w:pPr>
        <w:rPr>
          <w:rFonts w:hint="eastAsia" w:ascii="宋体" w:hAnsi="宋体" w:cs="宋体"/>
          <w:color w:val="auto"/>
          <w:sz w:val="28"/>
          <w:szCs w:val="28"/>
        </w:rPr>
      </w:pPr>
      <w:r>
        <w:rPr>
          <w:rFonts w:hint="eastAsia" w:ascii="宋体" w:hAnsi="宋体" w:cs="宋体"/>
          <w:color w:val="auto"/>
          <w:sz w:val="28"/>
          <w:szCs w:val="28"/>
        </w:rPr>
        <w:t xml:space="preserve"> </w:t>
      </w:r>
    </w:p>
    <w:p w14:paraId="2BEE1743">
      <w:pPr>
        <w:jc w:val="center"/>
        <w:rPr>
          <w:rFonts w:hint="eastAsia" w:ascii="宋体" w:hAnsi="宋体" w:cs="宋体"/>
          <w:b/>
          <w:color w:val="auto"/>
          <w:sz w:val="36"/>
          <w:szCs w:val="36"/>
        </w:rPr>
      </w:pPr>
      <w:r>
        <w:rPr>
          <w:rFonts w:hint="eastAsia" w:ascii="宋体" w:hAnsi="宋体" w:cs="宋体"/>
          <w:b/>
          <w:color w:val="auto"/>
          <w:sz w:val="36"/>
          <w:szCs w:val="36"/>
          <w:u w:val="single"/>
        </w:rPr>
        <w:t>项目名称</w:t>
      </w:r>
      <w:r>
        <w:rPr>
          <w:rFonts w:hint="eastAsia" w:ascii="宋体" w:hAnsi="宋体" w:cs="宋体"/>
          <w:b/>
          <w:color w:val="auto"/>
          <w:sz w:val="36"/>
          <w:szCs w:val="36"/>
        </w:rPr>
        <w:t>采购合同</w:t>
      </w:r>
    </w:p>
    <w:p w14:paraId="7C5D651F">
      <w:pPr>
        <w:jc w:val="center"/>
        <w:rPr>
          <w:rFonts w:hint="eastAsia" w:ascii="宋体" w:hAnsi="宋体" w:cs="宋体"/>
          <w:bCs/>
          <w:color w:val="auto"/>
          <w:sz w:val="44"/>
          <w:szCs w:val="44"/>
        </w:rPr>
      </w:pPr>
    </w:p>
    <w:p w14:paraId="690D8C16">
      <w:pPr>
        <w:spacing w:line="360" w:lineRule="auto"/>
        <w:ind w:firstLine="420" w:firstLineChars="200"/>
        <w:jc w:val="left"/>
        <w:rPr>
          <w:rFonts w:hint="eastAsia" w:asciiTheme="minorEastAsia" w:hAnsiTheme="minorEastAsia" w:eastAsiaTheme="minorEastAsia" w:cstheme="minorEastAsia"/>
          <w:bCs/>
          <w:color w:val="auto"/>
          <w:sz w:val="21"/>
          <w:szCs w:val="21"/>
        </w:rPr>
      </w:pPr>
      <w:r>
        <w:rPr>
          <w:rFonts w:hint="eastAsia" w:asciiTheme="minorEastAsia" w:hAnsiTheme="minorEastAsia" w:cstheme="minorEastAsia"/>
          <w:bCs/>
          <w:color w:val="auto"/>
          <w:sz w:val="21"/>
          <w:szCs w:val="21"/>
          <w:lang w:eastAsia="zh-CN"/>
        </w:rPr>
        <w:t>陕西省中医医院</w:t>
      </w:r>
      <w:r>
        <w:rPr>
          <w:rFonts w:hint="eastAsia" w:asciiTheme="minorEastAsia" w:hAnsiTheme="minorEastAsia" w:eastAsiaTheme="minorEastAsia" w:cstheme="minorEastAsia"/>
          <w:bCs/>
          <w:color w:val="auto"/>
          <w:sz w:val="21"/>
          <w:szCs w:val="21"/>
        </w:rPr>
        <w:t>（以下简称甲方）经院内集体采购，选定</w:t>
      </w:r>
      <w:r>
        <w:rPr>
          <w:rFonts w:hint="eastAsia" w:asciiTheme="minorEastAsia" w:hAnsiTheme="minorEastAsia" w:eastAsiaTheme="minorEastAsia" w:cstheme="minorEastAsia"/>
          <w:bCs/>
          <w:color w:val="auto"/>
          <w:sz w:val="21"/>
          <w:szCs w:val="21"/>
          <w:u w:val="single"/>
        </w:rPr>
        <w:t xml:space="preserve">        公司</w:t>
      </w:r>
      <w:r>
        <w:rPr>
          <w:rFonts w:hint="eastAsia" w:asciiTheme="minorEastAsia" w:hAnsiTheme="minorEastAsia" w:eastAsiaTheme="minorEastAsia" w:cstheme="minorEastAsia"/>
          <w:bCs/>
          <w:color w:val="auto"/>
          <w:sz w:val="21"/>
          <w:szCs w:val="21"/>
        </w:rPr>
        <w:t>（以下简称乙方）为</w:t>
      </w:r>
      <w:r>
        <w:rPr>
          <w:rFonts w:hint="eastAsia" w:asciiTheme="minorEastAsia" w:hAnsiTheme="minorEastAsia" w:eastAsiaTheme="minorEastAsia" w:cstheme="minorEastAsia"/>
          <w:bCs/>
          <w:color w:val="auto"/>
          <w:sz w:val="21"/>
          <w:szCs w:val="21"/>
          <w:u w:val="single"/>
        </w:rPr>
        <w:t>项目名称</w:t>
      </w:r>
      <w:r>
        <w:rPr>
          <w:rFonts w:hint="eastAsia" w:asciiTheme="minorEastAsia" w:hAnsiTheme="minorEastAsia" w:eastAsiaTheme="minorEastAsia" w:cstheme="minorEastAsia"/>
          <w:bCs/>
          <w:color w:val="auto"/>
          <w:sz w:val="21"/>
          <w:szCs w:val="21"/>
        </w:rPr>
        <w:t>项目成交单位。依据《中华人民共和国民法典》，经甲、乙双方共同协商，按下述条款和条件签署本合同。</w:t>
      </w:r>
    </w:p>
    <w:p w14:paraId="77CDE046">
      <w:pPr>
        <w:spacing w:line="360" w:lineRule="auto"/>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一、合同内容</w:t>
      </w:r>
    </w:p>
    <w:p w14:paraId="57211D9D">
      <w:pPr>
        <w:spacing w:line="36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负责按照合同及投标文件确定的设备名称、规格型号、数量、产地、配置内容及技术标准组织供货，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tbl>
      <w:tblPr>
        <w:tblStyle w:val="3"/>
        <w:tblW w:w="0" w:type="auto"/>
        <w:tblInd w:w="-5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900"/>
        <w:gridCol w:w="900"/>
        <w:gridCol w:w="1200"/>
        <w:gridCol w:w="850"/>
        <w:gridCol w:w="850"/>
        <w:gridCol w:w="1316"/>
        <w:gridCol w:w="2084"/>
      </w:tblGrid>
      <w:tr w14:paraId="30AB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5" w:type="dxa"/>
            <w:noWrap w:val="0"/>
            <w:vAlign w:val="center"/>
          </w:tcPr>
          <w:p w14:paraId="57F2893B">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产品名称</w:t>
            </w:r>
          </w:p>
        </w:tc>
        <w:tc>
          <w:tcPr>
            <w:tcW w:w="900" w:type="dxa"/>
            <w:noWrap w:val="0"/>
            <w:vAlign w:val="center"/>
          </w:tcPr>
          <w:p w14:paraId="67A9C168">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型号</w:t>
            </w:r>
          </w:p>
        </w:tc>
        <w:tc>
          <w:tcPr>
            <w:tcW w:w="900" w:type="dxa"/>
            <w:noWrap w:val="0"/>
            <w:vAlign w:val="center"/>
          </w:tcPr>
          <w:p w14:paraId="6941742B">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产地</w:t>
            </w:r>
          </w:p>
        </w:tc>
        <w:tc>
          <w:tcPr>
            <w:tcW w:w="1200" w:type="dxa"/>
            <w:noWrap w:val="0"/>
            <w:vAlign w:val="center"/>
          </w:tcPr>
          <w:p w14:paraId="49BF29FE">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品牌</w:t>
            </w:r>
          </w:p>
        </w:tc>
        <w:tc>
          <w:tcPr>
            <w:tcW w:w="850" w:type="dxa"/>
            <w:noWrap w:val="0"/>
            <w:vAlign w:val="center"/>
          </w:tcPr>
          <w:p w14:paraId="5D450E09">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单位</w:t>
            </w:r>
          </w:p>
        </w:tc>
        <w:tc>
          <w:tcPr>
            <w:tcW w:w="850" w:type="dxa"/>
            <w:noWrap w:val="0"/>
            <w:vAlign w:val="center"/>
          </w:tcPr>
          <w:p w14:paraId="39CA4E31">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数量</w:t>
            </w:r>
          </w:p>
        </w:tc>
        <w:tc>
          <w:tcPr>
            <w:tcW w:w="1316" w:type="dxa"/>
            <w:noWrap w:val="0"/>
            <w:vAlign w:val="center"/>
          </w:tcPr>
          <w:p w14:paraId="17F84F9A">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单价</w:t>
            </w:r>
          </w:p>
          <w:p w14:paraId="66CA8FAE">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（万元）</w:t>
            </w:r>
          </w:p>
        </w:tc>
        <w:tc>
          <w:tcPr>
            <w:tcW w:w="2084" w:type="dxa"/>
            <w:noWrap w:val="0"/>
            <w:vAlign w:val="center"/>
          </w:tcPr>
          <w:p w14:paraId="06142AB7">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合计</w:t>
            </w:r>
          </w:p>
          <w:p w14:paraId="11AE98DB">
            <w:pPr>
              <w:tabs>
                <w:tab w:val="left" w:pos="810"/>
              </w:tabs>
              <w:spacing w:line="360" w:lineRule="auto"/>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（万元）</w:t>
            </w:r>
          </w:p>
        </w:tc>
      </w:tr>
      <w:tr w14:paraId="6CE4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5" w:type="dxa"/>
            <w:noWrap w:val="0"/>
            <w:vAlign w:val="center"/>
          </w:tcPr>
          <w:p w14:paraId="4E0BD398">
            <w:pPr>
              <w:spacing w:line="400" w:lineRule="exact"/>
              <w:jc w:val="center"/>
              <w:rPr>
                <w:rFonts w:hint="eastAsia" w:asciiTheme="minorEastAsia" w:hAnsiTheme="minorEastAsia" w:eastAsiaTheme="minorEastAsia" w:cstheme="minorEastAsia"/>
                <w:bCs/>
                <w:color w:val="auto"/>
                <w:sz w:val="21"/>
                <w:szCs w:val="21"/>
              </w:rPr>
            </w:pPr>
          </w:p>
        </w:tc>
        <w:tc>
          <w:tcPr>
            <w:tcW w:w="900" w:type="dxa"/>
            <w:noWrap w:val="0"/>
            <w:vAlign w:val="center"/>
          </w:tcPr>
          <w:p w14:paraId="6FADDC13">
            <w:pPr>
              <w:spacing w:line="400" w:lineRule="exact"/>
              <w:jc w:val="center"/>
              <w:rPr>
                <w:rFonts w:hint="eastAsia" w:asciiTheme="minorEastAsia" w:hAnsiTheme="minorEastAsia" w:eastAsiaTheme="minorEastAsia" w:cstheme="minorEastAsia"/>
                <w:bCs/>
                <w:color w:val="auto"/>
                <w:sz w:val="21"/>
                <w:szCs w:val="21"/>
              </w:rPr>
            </w:pPr>
          </w:p>
        </w:tc>
        <w:tc>
          <w:tcPr>
            <w:tcW w:w="900" w:type="dxa"/>
            <w:noWrap w:val="0"/>
            <w:vAlign w:val="center"/>
          </w:tcPr>
          <w:p w14:paraId="7AE96EB0">
            <w:pPr>
              <w:spacing w:line="400" w:lineRule="exact"/>
              <w:jc w:val="center"/>
              <w:rPr>
                <w:rFonts w:hint="eastAsia" w:asciiTheme="minorEastAsia" w:hAnsiTheme="minorEastAsia" w:eastAsiaTheme="minorEastAsia" w:cstheme="minorEastAsia"/>
                <w:bCs/>
                <w:color w:val="auto"/>
                <w:sz w:val="21"/>
                <w:szCs w:val="21"/>
              </w:rPr>
            </w:pPr>
          </w:p>
        </w:tc>
        <w:tc>
          <w:tcPr>
            <w:tcW w:w="1200" w:type="dxa"/>
            <w:noWrap w:val="0"/>
            <w:vAlign w:val="center"/>
          </w:tcPr>
          <w:p w14:paraId="03B1CB26">
            <w:pPr>
              <w:spacing w:line="400" w:lineRule="exact"/>
              <w:jc w:val="center"/>
              <w:rPr>
                <w:rFonts w:hint="eastAsia" w:asciiTheme="minorEastAsia" w:hAnsiTheme="minorEastAsia" w:eastAsiaTheme="minorEastAsia" w:cstheme="minorEastAsia"/>
                <w:bCs/>
                <w:color w:val="auto"/>
                <w:sz w:val="21"/>
                <w:szCs w:val="21"/>
              </w:rPr>
            </w:pPr>
          </w:p>
        </w:tc>
        <w:tc>
          <w:tcPr>
            <w:tcW w:w="850" w:type="dxa"/>
            <w:noWrap w:val="0"/>
            <w:vAlign w:val="center"/>
          </w:tcPr>
          <w:p w14:paraId="317DF297">
            <w:pPr>
              <w:spacing w:line="400" w:lineRule="exact"/>
              <w:jc w:val="center"/>
              <w:rPr>
                <w:rFonts w:hint="eastAsia" w:asciiTheme="minorEastAsia" w:hAnsiTheme="minorEastAsia" w:eastAsiaTheme="minorEastAsia" w:cstheme="minorEastAsia"/>
                <w:bCs/>
                <w:color w:val="auto"/>
                <w:sz w:val="21"/>
                <w:szCs w:val="21"/>
              </w:rPr>
            </w:pPr>
          </w:p>
        </w:tc>
        <w:tc>
          <w:tcPr>
            <w:tcW w:w="850" w:type="dxa"/>
            <w:noWrap w:val="0"/>
            <w:vAlign w:val="center"/>
          </w:tcPr>
          <w:p w14:paraId="31605DAB">
            <w:pPr>
              <w:spacing w:line="400" w:lineRule="exact"/>
              <w:jc w:val="center"/>
              <w:rPr>
                <w:rFonts w:hint="eastAsia" w:asciiTheme="minorEastAsia" w:hAnsiTheme="minorEastAsia" w:eastAsiaTheme="minorEastAsia" w:cstheme="minorEastAsia"/>
                <w:bCs/>
                <w:color w:val="auto"/>
                <w:sz w:val="21"/>
                <w:szCs w:val="21"/>
              </w:rPr>
            </w:pPr>
          </w:p>
        </w:tc>
        <w:tc>
          <w:tcPr>
            <w:tcW w:w="1316" w:type="dxa"/>
            <w:noWrap w:val="0"/>
            <w:vAlign w:val="center"/>
          </w:tcPr>
          <w:p w14:paraId="69F2D931">
            <w:pPr>
              <w:spacing w:line="400" w:lineRule="exact"/>
              <w:jc w:val="center"/>
              <w:rPr>
                <w:rFonts w:hint="eastAsia" w:asciiTheme="minorEastAsia" w:hAnsiTheme="minorEastAsia" w:eastAsiaTheme="minorEastAsia" w:cstheme="minorEastAsia"/>
                <w:bCs/>
                <w:color w:val="auto"/>
                <w:sz w:val="21"/>
                <w:szCs w:val="21"/>
              </w:rPr>
            </w:pPr>
          </w:p>
        </w:tc>
        <w:tc>
          <w:tcPr>
            <w:tcW w:w="2084" w:type="dxa"/>
            <w:noWrap w:val="0"/>
            <w:vAlign w:val="center"/>
          </w:tcPr>
          <w:p w14:paraId="7A9D278C">
            <w:pPr>
              <w:spacing w:line="400" w:lineRule="exact"/>
              <w:jc w:val="center"/>
              <w:rPr>
                <w:rFonts w:hint="eastAsia" w:asciiTheme="minorEastAsia" w:hAnsiTheme="minorEastAsia" w:eastAsiaTheme="minorEastAsia" w:cstheme="minorEastAsia"/>
                <w:bCs/>
                <w:color w:val="auto"/>
                <w:sz w:val="21"/>
                <w:szCs w:val="21"/>
              </w:rPr>
            </w:pPr>
          </w:p>
        </w:tc>
      </w:tr>
      <w:tr w14:paraId="2569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35" w:type="dxa"/>
            <w:gridSpan w:val="8"/>
            <w:noWrap w:val="0"/>
            <w:vAlign w:val="center"/>
          </w:tcPr>
          <w:p w14:paraId="7DA15C26">
            <w:pPr>
              <w:spacing w:line="400" w:lineRule="exact"/>
              <w:ind w:left="420" w:leftChars="200"/>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                总金额：</w:t>
            </w:r>
            <w:r>
              <w:rPr>
                <w:rFonts w:hint="eastAsia" w:asciiTheme="minorEastAsia" w:hAnsiTheme="minorEastAsia" w:eastAsiaTheme="minorEastAsia" w:cstheme="minorEastAsia"/>
                <w:color w:val="auto"/>
                <w:sz w:val="21"/>
                <w:szCs w:val="21"/>
              </w:rPr>
              <w:t>人民币</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万元整（¥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万元）      </w:t>
            </w:r>
          </w:p>
        </w:tc>
      </w:tr>
    </w:tbl>
    <w:p w14:paraId="4A18F809">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二、合同价格</w:t>
      </w:r>
    </w:p>
    <w:p w14:paraId="41F050D9">
      <w:pPr>
        <w:spacing w:line="440" w:lineRule="exact"/>
        <w:ind w:left="420" w:left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合同总价：</w:t>
      </w:r>
      <w:r>
        <w:rPr>
          <w:rFonts w:hint="eastAsia" w:asciiTheme="minorEastAsia" w:hAnsiTheme="minorEastAsia" w:eastAsiaTheme="minorEastAsia" w:cstheme="minorEastAsia"/>
          <w:color w:val="auto"/>
          <w:sz w:val="21"/>
          <w:szCs w:val="21"/>
          <w:u w:val="single"/>
        </w:rPr>
        <w:t>人民币</w:t>
      </w:r>
      <w:r>
        <w:rPr>
          <w:rFonts w:hint="eastAsia" w:asciiTheme="minorEastAsia" w:hAnsi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万元整（¥     万元）。</w:t>
      </w:r>
    </w:p>
    <w:p w14:paraId="1D140AEA">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说明：</w:t>
      </w:r>
    </w:p>
    <w:p w14:paraId="5261F709">
      <w:pPr>
        <w:numPr>
          <w:ilvl w:val="0"/>
          <w:numId w:val="1"/>
        </w:num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合同总价包含设备费、设备到达西安交货地点的运杂费（含保险）、设备安装调试费、设备强制计量检测费及应缴纳的全部税款等费用，甲方无须为此项目支付任何其他费用。</w:t>
      </w:r>
    </w:p>
    <w:p w14:paraId="65567A7D">
      <w:pPr>
        <w:numPr>
          <w:ilvl w:val="0"/>
          <w:numId w:val="1"/>
        </w:num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合同总价一次包死，不受市场价格变化的影响，并作为结算的唯一依据。</w:t>
      </w:r>
    </w:p>
    <w:p w14:paraId="44EB215D">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三、合同款项支付</w:t>
      </w:r>
      <w:r>
        <w:rPr>
          <w:rFonts w:hint="eastAsia" w:asciiTheme="minorEastAsia" w:hAnsiTheme="minorEastAsia" w:eastAsiaTheme="minorEastAsia" w:cstheme="minorEastAsia"/>
          <w:color w:val="auto"/>
          <w:sz w:val="21"/>
          <w:szCs w:val="21"/>
        </w:rPr>
        <w:t>。</w:t>
      </w:r>
      <w:bookmarkStart w:id="0" w:name="_GoBack"/>
      <w:bookmarkEnd w:id="0"/>
    </w:p>
    <w:p w14:paraId="361399EF">
      <w:pPr>
        <w:spacing w:line="440" w:lineRule="exac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（一）付款方式及结算要求</w:t>
      </w:r>
    </w:p>
    <w:p w14:paraId="5F6E5C28">
      <w:pPr>
        <w:spacing w:line="44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 xml:space="preserve">1．付款方式：分期付款：设备安装验收合格，并提供检定证书后 ，达到付款条件起 60 日内，支付合同总金额的90.00%。 </w:t>
      </w:r>
      <w:r>
        <w:rPr>
          <w:rFonts w:hint="eastAsia" w:asciiTheme="minorEastAsia" w:hAnsiTheme="minorEastAsia" w:cstheme="minorEastAsia"/>
          <w:b/>
          <w:color w:val="auto"/>
          <w:sz w:val="21"/>
          <w:szCs w:val="21"/>
          <w:lang w:val="en-US" w:eastAsia="zh-CN"/>
        </w:rPr>
        <w:t>90</w:t>
      </w:r>
      <w:r>
        <w:rPr>
          <w:rFonts w:hint="eastAsia" w:asciiTheme="minorEastAsia" w:hAnsiTheme="minorEastAsia" w:eastAsiaTheme="minorEastAsia" w:cstheme="minorEastAsia"/>
          <w:b/>
          <w:color w:val="auto"/>
          <w:sz w:val="21"/>
          <w:szCs w:val="21"/>
        </w:rPr>
        <w:t>日</w:t>
      </w:r>
      <w:r>
        <w:rPr>
          <w:rFonts w:hint="eastAsia" w:asciiTheme="minorEastAsia" w:hAnsiTheme="minorEastAsia" w:cstheme="minorEastAsia"/>
          <w:b/>
          <w:color w:val="auto"/>
          <w:sz w:val="21"/>
          <w:szCs w:val="21"/>
          <w:lang w:eastAsia="zh-CN"/>
        </w:rPr>
        <w:t>后</w:t>
      </w:r>
      <w:r>
        <w:rPr>
          <w:rFonts w:hint="eastAsia" w:asciiTheme="minorEastAsia" w:hAnsiTheme="minorEastAsia" w:eastAsiaTheme="minorEastAsia" w:cstheme="minorEastAsia"/>
          <w:b/>
          <w:color w:val="auto"/>
          <w:sz w:val="21"/>
          <w:szCs w:val="21"/>
        </w:rPr>
        <w:t>支付合同总金额的 10.00%。</w:t>
      </w:r>
    </w:p>
    <w:p w14:paraId="4BBB0A6D">
      <w:pPr>
        <w:spacing w:line="44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2.支付方式：银行转帐；</w:t>
      </w:r>
    </w:p>
    <w:p w14:paraId="220854DA">
      <w:pPr>
        <w:spacing w:line="440" w:lineRule="exact"/>
        <w:ind w:firstLine="422"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3.结算要求：必须在验收合格后，一次性开具合同全款增值税发票。</w:t>
      </w:r>
    </w:p>
    <w:p w14:paraId="67377487">
      <w:pPr>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（二）由于乙方的原因未能按时供货的，每延迟一天（不足一天按一天计算）乙方需支付甲方合同约定总额0.2%/天的违约金；如超过供货期30天，甲方将终止合同并通过法律程序对乙方进行索赔。</w:t>
      </w:r>
    </w:p>
    <w:p w14:paraId="11A9960A">
      <w:pPr>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三）由于乙方的原因，在货到一周内未进行安装调试，或安装调试时间超过正常要求，按每超过一天（不足一天按一天计算）乙方需支付甲方合同约定总额0.2%/天的违约金。情节严重者，甲方将依法律程序对乙方进行索赔。</w:t>
      </w:r>
    </w:p>
    <w:p w14:paraId="45E83F18">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四、交货日期</w:t>
      </w:r>
    </w:p>
    <w:p w14:paraId="0ED0D2B6">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合同签订后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天到货安装完毕。</w:t>
      </w:r>
    </w:p>
    <w:p w14:paraId="3BDBF63B">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五、包装运输</w:t>
      </w:r>
    </w:p>
    <w:p w14:paraId="6309E1C7">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（一）运杂费：一次包死，已包含在合同总价内，包括从产品供应地点到交货地点所包含的运输费、保险费、搬运费等一切费用。</w:t>
      </w:r>
    </w:p>
    <w:p w14:paraId="2CEBE884">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（二）运输方式：</w:t>
      </w:r>
      <w:r>
        <w:rPr>
          <w:rFonts w:hint="eastAsia" w:asciiTheme="minorEastAsia" w:hAnsiTheme="minorEastAsia" w:eastAsiaTheme="minorEastAsia" w:cstheme="minorEastAsia"/>
          <w:color w:val="auto"/>
          <w:sz w:val="21"/>
          <w:szCs w:val="21"/>
          <w:u w:val="single"/>
        </w:rPr>
        <w:t xml:space="preserve">      。</w:t>
      </w:r>
    </w:p>
    <w:p w14:paraId="362A395D">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六、质量保证</w:t>
      </w:r>
    </w:p>
    <w:p w14:paraId="3705C345">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（一）乙方提供给甲方的产品必须是设计科学、技术成熟、工艺优良，是用优质材料制造的、先进的、原厂生产的未曾使用过的、全新的合格产品。</w:t>
      </w:r>
    </w:p>
    <w:p w14:paraId="771ABE9F">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二）设计技术专利、外形专利、应用软件专利等均应符合我国有关法律及行业标准，凡因以上问题与第三方发生的任何纠纷均与甲方无关，若因该产品存在知识产权纠纷给甲方造成损失的，应由乙方承担所有赔偿责任。</w:t>
      </w:r>
    </w:p>
    <w:p w14:paraId="1FACFF38">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（三）安全可靠。在正常使用下不应对操作者造成任何人身伤害，如因产品质量或标示不明确而对操作者造成损失的，甲方将保留依法索赔的权利。</w:t>
      </w:r>
    </w:p>
    <w:p w14:paraId="75571793">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（四）有强制性安全标准的产品，乙方应提供该产品的制造许可证证明。</w:t>
      </w:r>
    </w:p>
    <w:p w14:paraId="050E26A7">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（五）属于国家计量检测强检的产品，供货时提供本省法定计量检测机构出具的检测证书。</w:t>
      </w:r>
    </w:p>
    <w:p w14:paraId="23C61DF5">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（六）产品性能必须与其标示的技术指标项符合，甲方有权在产品的有效保质期内依据技术指标对该产品进行技术验收，其主要的技术参数达不到标准时，甲方有权无条件退货或依据有关法律索赔。</w:t>
      </w:r>
    </w:p>
    <w:p w14:paraId="74ADAA92">
      <w:pPr>
        <w:spacing w:line="440" w:lineRule="exact"/>
        <w:ind w:left="504"/>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（七）</w:t>
      </w:r>
      <w:r>
        <w:rPr>
          <w:rFonts w:hint="eastAsia" w:asciiTheme="minorEastAsia" w:hAnsiTheme="minorEastAsia" w:eastAsiaTheme="minorEastAsia" w:cstheme="minorEastAsia"/>
          <w:bCs/>
          <w:color w:val="auto"/>
          <w:spacing w:val="6"/>
          <w:sz w:val="21"/>
          <w:szCs w:val="21"/>
        </w:rPr>
        <w:t>乙方供应的产品</w:t>
      </w:r>
      <w:r>
        <w:rPr>
          <w:rFonts w:hint="eastAsia" w:asciiTheme="minorEastAsia" w:hAnsiTheme="minorEastAsia" w:eastAsiaTheme="minorEastAsia" w:cstheme="minorEastAsia"/>
          <w:bCs/>
          <w:color w:val="auto"/>
          <w:sz w:val="21"/>
          <w:szCs w:val="21"/>
        </w:rPr>
        <w:t>进货渠道正规，确保生产供应的产品无假货、水货、   翻新货且无产权纠纷，</w:t>
      </w:r>
      <w:r>
        <w:rPr>
          <w:rFonts w:hint="eastAsia" w:asciiTheme="minorEastAsia" w:hAnsiTheme="minorEastAsia" w:eastAsiaTheme="minorEastAsia" w:cstheme="minorEastAsia"/>
          <w:color w:val="auto"/>
          <w:sz w:val="21"/>
          <w:szCs w:val="21"/>
        </w:rPr>
        <w:t>。</w:t>
      </w:r>
    </w:p>
    <w:p w14:paraId="2D8B1CA9">
      <w:pPr>
        <w:spacing w:line="440" w:lineRule="exact"/>
        <w:ind w:left="48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（八）乙方提供的产品安全可靠。产品技术工艺先进，性能稳定，质量均满足国家标准或行业标准，品牌、质量及信誉公认度高，质量保证完善。</w:t>
      </w:r>
    </w:p>
    <w:p w14:paraId="5C82E30A">
      <w:pPr>
        <w:pStyle w:val="2"/>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七、服务承诺：</w:t>
      </w:r>
    </w:p>
    <w:p w14:paraId="003E1A90">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（一）</w:t>
      </w:r>
      <w:r>
        <w:rPr>
          <w:rFonts w:hint="eastAsia" w:asciiTheme="minorEastAsia" w:hAnsiTheme="minorEastAsia" w:eastAsiaTheme="minorEastAsia" w:cstheme="minorEastAsia"/>
          <w:bCs/>
          <w:color w:val="auto"/>
          <w:sz w:val="21"/>
          <w:szCs w:val="21"/>
        </w:rPr>
        <w:t>乙方所提供设备免费保修期为</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。设备保修期按设备安装验收合格办理入库之日算起。保修期内无条件保修，</w:t>
      </w:r>
      <w:r>
        <w:rPr>
          <w:rFonts w:hint="eastAsia" w:asciiTheme="minorEastAsia" w:hAnsiTheme="minorEastAsia" w:eastAsiaTheme="minorEastAsia" w:cstheme="minorEastAsia"/>
          <w:color w:val="auto"/>
          <w:sz w:val="21"/>
          <w:szCs w:val="21"/>
        </w:rPr>
        <w:t>保修期满后如需更换零部件，只收取零部件成本费并保证零配件供应5年，终身免费维护保养和校准。</w:t>
      </w:r>
    </w:p>
    <w:p w14:paraId="1F2A26C1">
      <w:pPr>
        <w:numPr>
          <w:ilvl w:val="0"/>
          <w:numId w:val="2"/>
        </w:num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维修响应时间</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小时</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小时到位。</w:t>
      </w:r>
    </w:p>
    <w:p w14:paraId="5414C81F">
      <w:pPr>
        <w:numPr>
          <w:ilvl w:val="0"/>
          <w:numId w:val="3"/>
        </w:num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技术参数（详见附件1）</w:t>
      </w:r>
    </w:p>
    <w:p w14:paraId="3DD72174">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九、配置清单（详见附件2）</w:t>
      </w:r>
    </w:p>
    <w:p w14:paraId="3F4146A3">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十、技术服务</w:t>
      </w:r>
    </w:p>
    <w:p w14:paraId="0B04CE30">
      <w:pPr>
        <w:spacing w:line="44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（一）技术资料：</w:t>
      </w:r>
    </w:p>
    <w:p w14:paraId="27E0C2B7">
      <w:pPr>
        <w:spacing w:line="440" w:lineRule="exact"/>
        <w:ind w:firstLine="525" w:firstLineChars="25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1、产品合格证、商检证明、进口产品报关单等。</w:t>
      </w:r>
    </w:p>
    <w:p w14:paraId="56D8155F">
      <w:pPr>
        <w:spacing w:line="440" w:lineRule="exact"/>
        <w:ind w:firstLine="525" w:firstLineChars="25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2、产品使用说明书。</w:t>
      </w:r>
    </w:p>
    <w:p w14:paraId="7AAF141E">
      <w:pPr>
        <w:spacing w:line="440" w:lineRule="exact"/>
        <w:ind w:firstLine="422"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（二）人员培训：</w:t>
      </w:r>
      <w:r>
        <w:rPr>
          <w:rFonts w:hint="eastAsia" w:asciiTheme="minorEastAsia" w:hAnsiTheme="minorEastAsia" w:eastAsiaTheme="minorEastAsia" w:cstheme="minorEastAsia"/>
          <w:color w:val="auto"/>
          <w:sz w:val="21"/>
          <w:szCs w:val="21"/>
        </w:rPr>
        <w:t>免费为甲方培训操作人员至能达到操作要求。</w:t>
      </w:r>
    </w:p>
    <w:p w14:paraId="400CB3FE">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十一、违约责任</w:t>
      </w:r>
    </w:p>
    <w:p w14:paraId="389BC176">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（一）按《中华人民共和国民法典》中的相关条款执行。</w:t>
      </w:r>
    </w:p>
    <w:p w14:paraId="671D380C">
      <w:pPr>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（二）乙方未按合同要求的提供产品或设备质量不能满足技术要求，甲方有权终止合同，甚至对乙方违约行为进行追究。</w:t>
      </w:r>
    </w:p>
    <w:p w14:paraId="741D1A9C">
      <w:pPr>
        <w:spacing w:line="440" w:lineRule="exact"/>
        <w:ind w:firstLine="420" w:firstLineChars="20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（三）如有纠纷，双方友好协商解决，协商不成时可诉讼到甲方所在地人民法院解决。</w:t>
      </w:r>
    </w:p>
    <w:p w14:paraId="2C65047F">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十二、验收标准和方法</w:t>
      </w:r>
    </w:p>
    <w:p w14:paraId="0E4F68B7">
      <w:pPr>
        <w:spacing w:line="440" w:lineRule="exact"/>
        <w:ind w:firstLine="420" w:firstLineChars="200"/>
        <w:jc w:val="left"/>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 xml:space="preserve">1、到货验收：正式合同签定之日起20个日历天或采购人要求的时间内完成交货，卖方应在到货两天内派工程技术人员到达现场，在采购人技术人员在场的情况下开箱清点货物，组织安装、调试、并承担因此发生的一切费用。 </w:t>
      </w:r>
    </w:p>
    <w:p w14:paraId="50D9E7DB">
      <w:pPr>
        <w:spacing w:line="440" w:lineRule="exact"/>
        <w:ind w:firstLine="420" w:firstLineChars="200"/>
        <w:jc w:val="left"/>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 xml:space="preserve">2、货物运行验收：乙方安装调试合格后，向甲方提出验收申请，甲方接到乙方验收申请后组织验收（必要时可聘请相应专家或委托相应部门验收），验收合格后，出具使用验收合格证明。 </w:t>
      </w:r>
    </w:p>
    <w:p w14:paraId="50CE188F">
      <w:pPr>
        <w:spacing w:line="440" w:lineRule="exact"/>
        <w:ind w:firstLine="420" w:firstLineChars="200"/>
        <w:jc w:val="left"/>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3、最终验收：最终验收结果作为付款依据，乙方填写验收单，并向甲方提交实施过程中的所有资料，以便甲方日后管理和维护。</w:t>
      </w:r>
    </w:p>
    <w:p w14:paraId="65F61896">
      <w:pPr>
        <w:spacing w:line="440" w:lineRule="exact"/>
        <w:ind w:firstLine="420" w:firstLineChars="200"/>
        <w:jc w:val="left"/>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 xml:space="preserve"> 4、质保期满后：由乙方出具质保期运行质量报告，作为质保金支付依据，若存在质量问题，应按相应规定协商处理。</w:t>
      </w:r>
    </w:p>
    <w:p w14:paraId="1600026A">
      <w:pPr>
        <w:spacing w:line="440" w:lineRule="exact"/>
        <w:ind w:firstLine="420" w:firstLineChars="200"/>
        <w:jc w:val="left"/>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 xml:space="preserve"> 5、验收依据： </w:t>
      </w:r>
    </w:p>
    <w:p w14:paraId="48FEE75D">
      <w:pPr>
        <w:spacing w:line="440" w:lineRule="exact"/>
        <w:ind w:firstLine="420" w:firstLineChars="200"/>
        <w:jc w:val="left"/>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5-1、合同文本、合同附件、</w:t>
      </w:r>
      <w:r>
        <w:rPr>
          <w:rFonts w:hint="eastAsia" w:asciiTheme="minorEastAsia" w:hAnsiTheme="minorEastAsia" w:eastAsiaTheme="minorEastAsia" w:cstheme="minorEastAsia"/>
          <w:b w:val="0"/>
          <w:bCs/>
          <w:color w:val="auto"/>
          <w:sz w:val="21"/>
          <w:szCs w:val="21"/>
          <w:lang w:eastAsia="zh-CN"/>
        </w:rPr>
        <w:t>招标</w:t>
      </w:r>
      <w:r>
        <w:rPr>
          <w:rFonts w:hint="eastAsia" w:asciiTheme="minorEastAsia" w:hAnsiTheme="minorEastAsia" w:eastAsiaTheme="minorEastAsia" w:cstheme="minorEastAsia"/>
          <w:b w:val="0"/>
          <w:bCs/>
          <w:color w:val="auto"/>
          <w:sz w:val="21"/>
          <w:szCs w:val="21"/>
        </w:rPr>
        <w:t>文件、</w:t>
      </w:r>
      <w:r>
        <w:rPr>
          <w:rFonts w:hint="eastAsia" w:asciiTheme="minorEastAsia" w:hAnsiTheme="minorEastAsia" w:eastAsiaTheme="minorEastAsia" w:cstheme="minorEastAsia"/>
          <w:b w:val="0"/>
          <w:bCs/>
          <w:color w:val="auto"/>
          <w:sz w:val="21"/>
          <w:szCs w:val="21"/>
          <w:lang w:eastAsia="zh-CN"/>
        </w:rPr>
        <w:t>投标</w:t>
      </w:r>
      <w:r>
        <w:rPr>
          <w:rFonts w:hint="eastAsia" w:asciiTheme="minorEastAsia" w:hAnsiTheme="minorEastAsia" w:eastAsiaTheme="minorEastAsia" w:cstheme="minorEastAsia"/>
          <w:b w:val="0"/>
          <w:bCs/>
          <w:color w:val="auto"/>
          <w:sz w:val="21"/>
          <w:szCs w:val="21"/>
        </w:rPr>
        <w:t>应文件。</w:t>
      </w:r>
    </w:p>
    <w:p w14:paraId="0CA221D1">
      <w:pPr>
        <w:spacing w:line="440" w:lineRule="exact"/>
        <w:ind w:firstLine="420" w:firstLineChars="200"/>
        <w:jc w:val="left"/>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 xml:space="preserve"> 5-2、国内相应的标准、规范。</w:t>
      </w:r>
    </w:p>
    <w:p w14:paraId="75D02405">
      <w:pPr>
        <w:spacing w:line="440" w:lineRule="exact"/>
        <w:jc w:val="left"/>
        <w:rPr>
          <w:rFonts w:hint="eastAsia" w:asciiTheme="minorEastAsia" w:hAnsiTheme="minorEastAsia" w:eastAsiaTheme="minorEastAsia" w:cstheme="minorEastAsia"/>
          <w:b/>
          <w:color w:val="auto"/>
          <w:sz w:val="21"/>
          <w:szCs w:val="21"/>
        </w:rPr>
      </w:pPr>
    </w:p>
    <w:p w14:paraId="1D642650">
      <w:pPr>
        <w:spacing w:line="440" w:lineRule="exact"/>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十三、其他事项</w:t>
      </w:r>
    </w:p>
    <w:p w14:paraId="2B56CE06">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（一）本合同一式肆份，甲方叁份，乙方壹份。甲乙双方签字或盖章后生效。</w:t>
      </w:r>
    </w:p>
    <w:p w14:paraId="3A052F88">
      <w:pPr>
        <w:spacing w:line="44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（二）</w:t>
      </w:r>
      <w:r>
        <w:rPr>
          <w:rFonts w:hint="eastAsia" w:asciiTheme="minorEastAsia" w:hAnsiTheme="minorEastAsia" w:eastAsiaTheme="minorEastAsia" w:cstheme="minorEastAsia"/>
          <w:bCs/>
          <w:color w:val="auto"/>
          <w:sz w:val="21"/>
          <w:szCs w:val="21"/>
        </w:rPr>
        <w:t>招标文件、投标文件也是合同的组成部分，具有同等法律效力，合同中未约定的或不一致的以招标文件、投标文件为准。</w:t>
      </w:r>
    </w:p>
    <w:p w14:paraId="3DD8BFE2">
      <w:pPr>
        <w:spacing w:line="440" w:lineRule="exact"/>
        <w:ind w:firstLine="525" w:firstLineChars="25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（三）本合同含两个附件，附件与本合同具有同等效力。</w:t>
      </w:r>
    </w:p>
    <w:p w14:paraId="2E110143">
      <w:pPr>
        <w:spacing w:line="440" w:lineRule="exact"/>
        <w:jc w:val="left"/>
        <w:rPr>
          <w:rFonts w:hint="eastAsia" w:asciiTheme="minorEastAsia" w:hAnsiTheme="minorEastAsia" w:eastAsiaTheme="minorEastAsia" w:cstheme="minorEastAsia"/>
          <w:color w:val="auto"/>
          <w:sz w:val="21"/>
          <w:szCs w:val="21"/>
        </w:rPr>
      </w:pPr>
    </w:p>
    <w:p w14:paraId="304330FC">
      <w:pPr>
        <w:pStyle w:val="2"/>
        <w:rPr>
          <w:rFonts w:hint="eastAsia" w:asciiTheme="minorEastAsia" w:hAnsiTheme="minorEastAsia" w:eastAsiaTheme="minorEastAsia" w:cstheme="minorEastAsia"/>
          <w:color w:val="auto"/>
          <w:sz w:val="21"/>
          <w:szCs w:val="21"/>
        </w:rPr>
      </w:pPr>
    </w:p>
    <w:p w14:paraId="30217D61">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    方                           乙    方</w:t>
      </w:r>
    </w:p>
    <w:p w14:paraId="2239B053">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单位名称：</w:t>
      </w:r>
      <w:r>
        <w:rPr>
          <w:rFonts w:hint="eastAsia" w:asciiTheme="minorEastAsia" w:hAnsiTheme="minorEastAsia" w:cstheme="minorEastAsia"/>
          <w:color w:val="auto"/>
          <w:sz w:val="21"/>
          <w:szCs w:val="21"/>
          <w:lang w:eastAsia="zh-CN"/>
        </w:rPr>
        <w:t>陕西省中医医院</w:t>
      </w:r>
      <w:r>
        <w:rPr>
          <w:rFonts w:hint="eastAsia" w:asciiTheme="minorEastAsia" w:hAnsiTheme="minorEastAsia" w:eastAsiaTheme="minorEastAsia" w:cstheme="minorEastAsia"/>
          <w:color w:val="auto"/>
          <w:sz w:val="21"/>
          <w:szCs w:val="21"/>
        </w:rPr>
        <w:t xml:space="preserve">         单位名称： </w:t>
      </w:r>
    </w:p>
    <w:p w14:paraId="0EDB2716">
      <w:pPr>
        <w:spacing w:line="440" w:lineRule="exact"/>
        <w:ind w:left="5520" w:hanging="4830" w:hangingChars="23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地   址：</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地    址：</w:t>
      </w:r>
    </w:p>
    <w:p w14:paraId="0982F616">
      <w:pPr>
        <w:spacing w:line="440" w:lineRule="exact"/>
        <w:jc w:val="left"/>
        <w:rPr>
          <w:rFonts w:hint="eastAsia" w:asciiTheme="minorEastAsia" w:hAnsiTheme="minorEastAsia" w:eastAsiaTheme="minorEastAsia" w:cstheme="minorEastAsia"/>
          <w:color w:val="auto"/>
          <w:sz w:val="21"/>
          <w:szCs w:val="21"/>
        </w:rPr>
      </w:pPr>
    </w:p>
    <w:p w14:paraId="343DCB30">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法人代表：                          法人代表：</w:t>
      </w:r>
    </w:p>
    <w:p w14:paraId="469315A0">
      <w:pPr>
        <w:spacing w:line="440" w:lineRule="exact"/>
        <w:jc w:val="left"/>
        <w:rPr>
          <w:rFonts w:hint="eastAsia" w:asciiTheme="minorEastAsia" w:hAnsiTheme="minorEastAsia" w:eastAsiaTheme="minorEastAsia" w:cstheme="minorEastAsia"/>
          <w:color w:val="auto"/>
          <w:sz w:val="21"/>
          <w:szCs w:val="21"/>
        </w:rPr>
      </w:pPr>
    </w:p>
    <w:p w14:paraId="7985D757">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联系电话：</w:t>
      </w:r>
    </w:p>
    <w:p w14:paraId="63524673">
      <w:pPr>
        <w:spacing w:line="440" w:lineRule="exact"/>
        <w:ind w:left="5760" w:hanging="5040" w:hangingChars="24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 户 行：</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开 户 行： </w:t>
      </w:r>
    </w:p>
    <w:p w14:paraId="7FF834BC">
      <w:pPr>
        <w:pStyle w:val="2"/>
        <w:spacing w:line="440" w:lineRule="exact"/>
        <w:rPr>
          <w:rFonts w:hint="eastAsia" w:asciiTheme="minorEastAsia" w:hAnsiTheme="minorEastAsia" w:eastAsiaTheme="minorEastAsia" w:cstheme="minorEastAsia"/>
          <w:color w:val="auto"/>
          <w:sz w:val="21"/>
          <w:szCs w:val="21"/>
        </w:rPr>
      </w:pPr>
    </w:p>
    <w:p w14:paraId="12AF96A7">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    号：</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账    号：</w:t>
      </w:r>
    </w:p>
    <w:p w14:paraId="54EED898">
      <w:pPr>
        <w:spacing w:line="440" w:lineRule="exact"/>
        <w:jc w:val="left"/>
        <w:rPr>
          <w:rFonts w:hint="eastAsia" w:asciiTheme="minorEastAsia" w:hAnsiTheme="minorEastAsia" w:eastAsiaTheme="minorEastAsia" w:cstheme="minorEastAsia"/>
          <w:color w:val="auto"/>
          <w:sz w:val="21"/>
          <w:szCs w:val="21"/>
        </w:rPr>
      </w:pPr>
    </w:p>
    <w:p w14:paraId="53BD3433">
      <w:pPr>
        <w:spacing w:line="440" w:lineRule="exact"/>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纳税人识别号：</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纳税人识别号：</w:t>
      </w:r>
    </w:p>
    <w:p w14:paraId="6CA33D12">
      <w:pPr>
        <w:spacing w:line="440" w:lineRule="exact"/>
        <w:jc w:val="left"/>
        <w:rPr>
          <w:rFonts w:hint="eastAsia" w:asciiTheme="minorEastAsia" w:hAnsiTheme="minorEastAsia" w:eastAsiaTheme="minorEastAsia" w:cstheme="minorEastAsia"/>
          <w:color w:val="auto"/>
          <w:sz w:val="21"/>
          <w:szCs w:val="21"/>
        </w:rPr>
      </w:pPr>
    </w:p>
    <w:p w14:paraId="61B73E47">
      <w:pPr>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签订日期：</w:t>
      </w:r>
      <w:r>
        <w:rPr>
          <w:rFonts w:hint="eastAsia" w:asciiTheme="minorEastAsia" w:hAnsiTheme="minorEastAsia" w:eastAsiaTheme="minorEastAsia" w:cstheme="minorEastAsia"/>
          <w:color w:val="auto"/>
          <w:sz w:val="21"/>
          <w:szCs w:val="21"/>
        </w:rPr>
        <w:t xml:space="preserve">   年   月   日</w:t>
      </w:r>
    </w:p>
    <w:p w14:paraId="4F598555">
      <w:pPr>
        <w:spacing w:line="440" w:lineRule="exact"/>
        <w:ind w:firstLine="525" w:firstLineChars="25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签订地点：西安市</w:t>
      </w:r>
    </w:p>
    <w:p w14:paraId="63E5ACDC">
      <w:pPr>
        <w:spacing w:line="440" w:lineRule="exact"/>
        <w:jc w:val="left"/>
        <w:rPr>
          <w:rFonts w:hint="eastAsia" w:asciiTheme="minorEastAsia" w:hAnsiTheme="minorEastAsia" w:eastAsiaTheme="minorEastAsia" w:cstheme="minorEastAsia"/>
          <w:color w:val="auto"/>
          <w:sz w:val="21"/>
          <w:szCs w:val="21"/>
        </w:rPr>
      </w:pPr>
    </w:p>
    <w:p w14:paraId="096AE761">
      <w:pPr>
        <w:spacing w:line="440" w:lineRule="exact"/>
        <w:jc w:val="left"/>
        <w:rPr>
          <w:rFonts w:hint="eastAsia" w:asciiTheme="minorEastAsia" w:hAnsiTheme="minorEastAsia" w:eastAsiaTheme="minorEastAsia" w:cstheme="minorEastAsia"/>
          <w:bCs/>
          <w:color w:val="auto"/>
          <w:sz w:val="21"/>
          <w:szCs w:val="21"/>
        </w:rPr>
      </w:pPr>
    </w:p>
    <w:p w14:paraId="27BE1628">
      <w:pPr>
        <w:spacing w:line="440" w:lineRule="exact"/>
        <w:rPr>
          <w:rFonts w:hint="eastAsia" w:asciiTheme="minorEastAsia" w:hAnsiTheme="minorEastAsia" w:eastAsiaTheme="minorEastAsia" w:cstheme="minorEastAsia"/>
          <w:bCs/>
          <w:color w:val="auto"/>
          <w:sz w:val="21"/>
          <w:szCs w:val="21"/>
        </w:rPr>
      </w:pPr>
    </w:p>
    <w:p w14:paraId="7B92B2B7">
      <w:pPr>
        <w:spacing w:line="44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附件1 性能参数表</w:t>
      </w:r>
    </w:p>
    <w:p w14:paraId="7AB28D61">
      <w:pPr>
        <w:spacing w:line="440" w:lineRule="exact"/>
        <w:rPr>
          <w:rFonts w:hint="eastAsia" w:asciiTheme="minorEastAsia" w:hAnsiTheme="minorEastAsia" w:eastAsiaTheme="minorEastAsia" w:cstheme="minorEastAsia"/>
          <w:bCs/>
          <w:color w:val="auto"/>
          <w:sz w:val="21"/>
          <w:szCs w:val="21"/>
        </w:rPr>
      </w:pPr>
    </w:p>
    <w:p w14:paraId="7D227768">
      <w:pPr>
        <w:spacing w:line="440" w:lineRule="exact"/>
        <w:rPr>
          <w:rFonts w:hint="eastAsia" w:asciiTheme="minorEastAsia" w:hAnsiTheme="minorEastAsia" w:eastAsiaTheme="minorEastAsia" w:cstheme="minorEastAsia"/>
          <w:bCs/>
          <w:color w:val="auto"/>
          <w:sz w:val="21"/>
          <w:szCs w:val="21"/>
        </w:rPr>
      </w:pPr>
    </w:p>
    <w:p w14:paraId="2F381723">
      <w:pPr>
        <w:spacing w:line="440" w:lineRule="exact"/>
        <w:rPr>
          <w:rFonts w:hint="eastAsia" w:asciiTheme="minorEastAsia" w:hAnsiTheme="minorEastAsia" w:eastAsiaTheme="minorEastAsia" w:cstheme="minorEastAsia"/>
          <w:bCs/>
          <w:color w:val="auto"/>
          <w:sz w:val="21"/>
          <w:szCs w:val="21"/>
        </w:rPr>
      </w:pPr>
    </w:p>
    <w:p w14:paraId="30EF047A">
      <w:pPr>
        <w:spacing w:line="440" w:lineRule="exac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附件2 配置清单 </w:t>
      </w:r>
    </w:p>
    <w:p w14:paraId="1A2BD5F0">
      <w:pPr>
        <w:spacing w:line="440" w:lineRule="exact"/>
        <w:rPr>
          <w:rFonts w:hint="eastAsia" w:ascii="宋体" w:hAnsi="宋体" w:cs="宋体"/>
          <w:color w:val="auto"/>
          <w:sz w:val="24"/>
          <w:szCs w:val="24"/>
        </w:rPr>
      </w:pPr>
    </w:p>
    <w:p w14:paraId="76C233F2">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CE4AB7"/>
    <w:multiLevelType w:val="multilevel"/>
    <w:tmpl w:val="06CE4AB7"/>
    <w:lvl w:ilvl="0" w:tentative="0">
      <w:start w:val="8"/>
      <w:numFmt w:val="japaneseCounting"/>
      <w:lvlText w:val="%1、"/>
      <w:lvlJc w:val="left"/>
      <w:pPr>
        <w:ind w:left="510" w:hanging="51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F8356FF"/>
    <w:multiLevelType w:val="multilevel"/>
    <w:tmpl w:val="0F8356FF"/>
    <w:lvl w:ilvl="0" w:tentative="0">
      <w:start w:val="2"/>
      <w:numFmt w:val="japaneseCounting"/>
      <w:lvlText w:val="（%1）"/>
      <w:lvlJc w:val="left"/>
      <w:pPr>
        <w:ind w:left="1140" w:hanging="720"/>
      </w:pPr>
      <w:rPr>
        <w:rFonts w:hint="default" w:ascii="宋体"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ECA046B"/>
    <w:multiLevelType w:val="singleLevel"/>
    <w:tmpl w:val="1ECA046B"/>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3A4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23"/>
      <w:szCs w:val="23"/>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2024-12-23T08:20:38Z</dcterms:created>
  <dc:creator>Administrator</dc:creator>
  <cp:lastModifiedBy>悦亮宝</cp:lastModifiedBy>
  <dcterms:modified xsi:type="dcterms:W3CDTF">2024-12-23T08:23:48Z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D7DDC27F795544B6B41EB9914C64CC2C_12</vt:lpwstr>
  </property>
</Properties>
</file>